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02E" w14:textId="29E379AC" w:rsidR="00B6386C" w:rsidRPr="001A27E0" w:rsidRDefault="00B6386C" w:rsidP="004A1B95">
      <w:pPr>
        <w:jc w:val="center"/>
        <w:rPr>
          <w:color w:val="1B365D"/>
          <w:sz w:val="2"/>
          <w:szCs w:val="2"/>
          <w:lang w:val="en-US"/>
        </w:rPr>
      </w:pPr>
    </w:p>
    <w:tbl>
      <w:tblPr>
        <w:tblStyle w:val="TableGridLight"/>
        <w:tblW w:w="0" w:type="auto"/>
        <w:tblLook w:val="04A0" w:firstRow="1" w:lastRow="0" w:firstColumn="1" w:lastColumn="0" w:noHBand="0" w:noVBand="1"/>
      </w:tblPr>
      <w:tblGrid>
        <w:gridCol w:w="3114"/>
        <w:gridCol w:w="5902"/>
      </w:tblGrid>
      <w:tr w:rsidR="00B6386C" w14:paraId="3666A515" w14:textId="77777777" w:rsidTr="002D0F43">
        <w:trPr>
          <w:trHeight w:val="397"/>
        </w:trPr>
        <w:tc>
          <w:tcPr>
            <w:tcW w:w="3114" w:type="dxa"/>
            <w:vAlign w:val="center"/>
          </w:tcPr>
          <w:p w14:paraId="28233647" w14:textId="1F6A2AF8" w:rsidR="00B6386C" w:rsidRPr="004A1B95" w:rsidRDefault="00B6386C" w:rsidP="004A1B95">
            <w:pPr>
              <w:rPr>
                <w:b/>
                <w:bCs/>
                <w:color w:val="1B365D"/>
                <w:lang w:val="en-US"/>
              </w:rPr>
            </w:pPr>
            <w:r w:rsidRPr="004A1B95">
              <w:rPr>
                <w:b/>
                <w:bCs/>
                <w:color w:val="1B365D"/>
                <w:lang w:val="en-US"/>
              </w:rPr>
              <w:t>Name of Lead Booker:</w:t>
            </w:r>
          </w:p>
        </w:tc>
        <w:tc>
          <w:tcPr>
            <w:tcW w:w="5902" w:type="dxa"/>
            <w:vAlign w:val="center"/>
          </w:tcPr>
          <w:p w14:paraId="69E5F7F7" w14:textId="77777777" w:rsidR="00B6386C" w:rsidRDefault="00B6386C" w:rsidP="004A1B95">
            <w:pPr>
              <w:rPr>
                <w:b/>
                <w:bCs/>
                <w:lang w:val="en-US"/>
              </w:rPr>
            </w:pPr>
          </w:p>
        </w:tc>
      </w:tr>
      <w:tr w:rsidR="00B6386C" w14:paraId="4C7E9850" w14:textId="77777777" w:rsidTr="002D0F43">
        <w:trPr>
          <w:trHeight w:val="397"/>
        </w:trPr>
        <w:tc>
          <w:tcPr>
            <w:tcW w:w="3114" w:type="dxa"/>
            <w:vAlign w:val="center"/>
          </w:tcPr>
          <w:p w14:paraId="0AE0E92D" w14:textId="6FADC67A" w:rsidR="00B6386C" w:rsidRDefault="004A1B95" w:rsidP="004A1B95">
            <w:pPr>
              <w:rPr>
                <w:b/>
                <w:bCs/>
                <w:color w:val="1B365D"/>
                <w:lang w:val="en-US"/>
              </w:rPr>
            </w:pPr>
            <w:r>
              <w:rPr>
                <w:b/>
                <w:bCs/>
                <w:color w:val="1B365D"/>
                <w:lang w:val="en-US"/>
              </w:rPr>
              <w:t>Total Guests in Party</w:t>
            </w:r>
            <w:r w:rsidR="00B6386C" w:rsidRPr="004A1B95">
              <w:rPr>
                <w:b/>
                <w:bCs/>
                <w:color w:val="1B365D"/>
                <w:lang w:val="en-US"/>
              </w:rPr>
              <w:t>:</w:t>
            </w:r>
          </w:p>
          <w:p w14:paraId="1AD7F51E" w14:textId="57378AEE" w:rsidR="004A1B95" w:rsidRPr="004A1B95" w:rsidRDefault="004A1B95" w:rsidP="004A1B95">
            <w:pPr>
              <w:rPr>
                <w:i/>
                <w:iCs/>
                <w:color w:val="1B365D"/>
                <w:lang w:val="en-US"/>
              </w:rPr>
            </w:pPr>
            <w:r w:rsidRPr="004A1B95">
              <w:rPr>
                <w:i/>
                <w:iCs/>
                <w:color w:val="1B365D"/>
                <w:sz w:val="16"/>
                <w:szCs w:val="16"/>
                <w:lang w:val="en-US"/>
              </w:rPr>
              <w:t>(including lead booker)</w:t>
            </w:r>
          </w:p>
        </w:tc>
        <w:tc>
          <w:tcPr>
            <w:tcW w:w="5902" w:type="dxa"/>
            <w:vAlign w:val="center"/>
          </w:tcPr>
          <w:p w14:paraId="69E3353F" w14:textId="77777777" w:rsidR="00B6386C" w:rsidRDefault="00B6386C" w:rsidP="004A1B95">
            <w:pPr>
              <w:rPr>
                <w:b/>
                <w:bCs/>
                <w:lang w:val="en-US"/>
              </w:rPr>
            </w:pPr>
          </w:p>
        </w:tc>
      </w:tr>
      <w:tr w:rsidR="00B6386C" w14:paraId="3E31E84C" w14:textId="77777777" w:rsidTr="002D0F43">
        <w:trPr>
          <w:trHeight w:val="397"/>
        </w:trPr>
        <w:tc>
          <w:tcPr>
            <w:tcW w:w="3114" w:type="dxa"/>
            <w:vAlign w:val="center"/>
          </w:tcPr>
          <w:p w14:paraId="5AD4C97E" w14:textId="5E0AA691" w:rsidR="00B6386C" w:rsidRPr="004A1B95" w:rsidRDefault="00B6386C" w:rsidP="004A1B95">
            <w:pPr>
              <w:rPr>
                <w:b/>
                <w:bCs/>
                <w:color w:val="1B365D"/>
                <w:lang w:val="en-US"/>
              </w:rPr>
            </w:pPr>
            <w:r w:rsidRPr="004A1B95">
              <w:rPr>
                <w:b/>
                <w:bCs/>
                <w:color w:val="1B365D"/>
                <w:lang w:val="en-US"/>
              </w:rPr>
              <w:t>Name</w:t>
            </w:r>
            <w:r w:rsidR="004A1B95">
              <w:rPr>
                <w:b/>
                <w:bCs/>
                <w:color w:val="1B365D"/>
                <w:lang w:val="en-US"/>
              </w:rPr>
              <w:t>(s)</w:t>
            </w:r>
            <w:r w:rsidRPr="004A1B95">
              <w:rPr>
                <w:b/>
                <w:bCs/>
                <w:color w:val="1B365D"/>
                <w:lang w:val="en-US"/>
              </w:rPr>
              <w:t xml:space="preserve"> of Guests:</w:t>
            </w:r>
          </w:p>
          <w:p w14:paraId="2FA61A84" w14:textId="3D89642C" w:rsidR="00B6386C" w:rsidRPr="004A1B95" w:rsidRDefault="00B6386C" w:rsidP="004A1B95">
            <w:pPr>
              <w:rPr>
                <w:i/>
                <w:iCs/>
                <w:color w:val="1B365D"/>
                <w:lang w:val="en-US"/>
              </w:rPr>
            </w:pPr>
            <w:r w:rsidRPr="004A1B95">
              <w:rPr>
                <w:i/>
                <w:iCs/>
                <w:color w:val="1B365D"/>
                <w:sz w:val="16"/>
                <w:szCs w:val="16"/>
                <w:lang w:val="en-US"/>
              </w:rPr>
              <w:t>(to be confirmed no later than 14 days prior)</w:t>
            </w:r>
          </w:p>
        </w:tc>
        <w:tc>
          <w:tcPr>
            <w:tcW w:w="5902" w:type="dxa"/>
            <w:vAlign w:val="center"/>
          </w:tcPr>
          <w:p w14:paraId="1254118C" w14:textId="77777777" w:rsidR="00B6386C" w:rsidRDefault="00B6386C" w:rsidP="004A1B95">
            <w:pPr>
              <w:rPr>
                <w:b/>
                <w:bCs/>
                <w:lang w:val="en-US"/>
              </w:rPr>
            </w:pPr>
          </w:p>
        </w:tc>
      </w:tr>
      <w:tr w:rsidR="00B6386C" w14:paraId="0AF5E75D" w14:textId="77777777" w:rsidTr="002D0F43">
        <w:trPr>
          <w:trHeight w:val="397"/>
        </w:trPr>
        <w:tc>
          <w:tcPr>
            <w:tcW w:w="3114" w:type="dxa"/>
            <w:vAlign w:val="center"/>
          </w:tcPr>
          <w:p w14:paraId="1BA98D8B" w14:textId="46237E98" w:rsidR="00B6386C" w:rsidRPr="004A1B95" w:rsidRDefault="00B6386C" w:rsidP="004A1B95">
            <w:pPr>
              <w:rPr>
                <w:b/>
                <w:bCs/>
                <w:color w:val="1B365D"/>
                <w:lang w:val="en-US"/>
              </w:rPr>
            </w:pPr>
            <w:r w:rsidRPr="004A1B95">
              <w:rPr>
                <w:b/>
                <w:bCs/>
                <w:color w:val="1B365D"/>
                <w:lang w:val="en-US"/>
              </w:rPr>
              <w:t>Company Name:</w:t>
            </w:r>
          </w:p>
        </w:tc>
        <w:tc>
          <w:tcPr>
            <w:tcW w:w="5902" w:type="dxa"/>
            <w:vAlign w:val="center"/>
          </w:tcPr>
          <w:p w14:paraId="52A7D07B" w14:textId="77777777" w:rsidR="00B6386C" w:rsidRDefault="00B6386C" w:rsidP="004A1B95">
            <w:pPr>
              <w:rPr>
                <w:b/>
                <w:bCs/>
                <w:lang w:val="en-US"/>
              </w:rPr>
            </w:pPr>
          </w:p>
        </w:tc>
      </w:tr>
      <w:tr w:rsidR="00B6386C" w14:paraId="699B2E5D" w14:textId="77777777" w:rsidTr="002D0F43">
        <w:trPr>
          <w:trHeight w:val="397"/>
        </w:trPr>
        <w:tc>
          <w:tcPr>
            <w:tcW w:w="3114" w:type="dxa"/>
            <w:vAlign w:val="center"/>
          </w:tcPr>
          <w:p w14:paraId="16B984BF" w14:textId="6E3F2E37" w:rsidR="00B6386C" w:rsidRPr="004A1B95" w:rsidRDefault="00B6386C" w:rsidP="004A1B95">
            <w:pPr>
              <w:rPr>
                <w:b/>
                <w:bCs/>
                <w:color w:val="1B365D"/>
                <w:lang w:val="en-US"/>
              </w:rPr>
            </w:pPr>
            <w:r w:rsidRPr="004A1B95">
              <w:rPr>
                <w:b/>
                <w:bCs/>
                <w:color w:val="1B365D"/>
                <w:lang w:val="en-US"/>
              </w:rPr>
              <w:t>Telephone Number:</w:t>
            </w:r>
          </w:p>
        </w:tc>
        <w:tc>
          <w:tcPr>
            <w:tcW w:w="5902" w:type="dxa"/>
            <w:vAlign w:val="center"/>
          </w:tcPr>
          <w:p w14:paraId="6626626F" w14:textId="77777777" w:rsidR="00B6386C" w:rsidRDefault="00B6386C" w:rsidP="004A1B95">
            <w:pPr>
              <w:rPr>
                <w:b/>
                <w:bCs/>
                <w:lang w:val="en-US"/>
              </w:rPr>
            </w:pPr>
          </w:p>
        </w:tc>
      </w:tr>
      <w:tr w:rsidR="00B6386C" w14:paraId="756CABEA" w14:textId="77777777" w:rsidTr="002D0F43">
        <w:trPr>
          <w:trHeight w:val="397"/>
        </w:trPr>
        <w:tc>
          <w:tcPr>
            <w:tcW w:w="3114" w:type="dxa"/>
            <w:vAlign w:val="center"/>
          </w:tcPr>
          <w:p w14:paraId="014E9129" w14:textId="02AAD5F4" w:rsidR="00B6386C" w:rsidRPr="004A1B95" w:rsidRDefault="00B6386C" w:rsidP="004A1B95">
            <w:pPr>
              <w:rPr>
                <w:b/>
                <w:bCs/>
                <w:color w:val="1B365D"/>
                <w:lang w:val="en-US"/>
              </w:rPr>
            </w:pPr>
            <w:r w:rsidRPr="004A1B95">
              <w:rPr>
                <w:b/>
                <w:bCs/>
                <w:color w:val="1B365D"/>
                <w:lang w:val="en-US"/>
              </w:rPr>
              <w:t>Email Address:</w:t>
            </w:r>
          </w:p>
        </w:tc>
        <w:tc>
          <w:tcPr>
            <w:tcW w:w="5902" w:type="dxa"/>
            <w:vAlign w:val="center"/>
          </w:tcPr>
          <w:p w14:paraId="3E239089" w14:textId="77777777" w:rsidR="00B6386C" w:rsidRDefault="00B6386C" w:rsidP="004A1B95">
            <w:pPr>
              <w:rPr>
                <w:b/>
                <w:bCs/>
                <w:lang w:val="en-US"/>
              </w:rPr>
            </w:pPr>
          </w:p>
        </w:tc>
      </w:tr>
      <w:tr w:rsidR="00B6386C" w14:paraId="664A4FC9" w14:textId="77777777" w:rsidTr="002D0F43">
        <w:trPr>
          <w:trHeight w:val="397"/>
        </w:trPr>
        <w:tc>
          <w:tcPr>
            <w:tcW w:w="3114" w:type="dxa"/>
            <w:vAlign w:val="center"/>
          </w:tcPr>
          <w:p w14:paraId="3B0E2E6B" w14:textId="3ABC0B68" w:rsidR="00B6386C" w:rsidRPr="004A1B95" w:rsidRDefault="00B6386C" w:rsidP="004A1B95">
            <w:pPr>
              <w:rPr>
                <w:b/>
                <w:bCs/>
                <w:color w:val="1B365D"/>
                <w:lang w:val="en-US"/>
              </w:rPr>
            </w:pPr>
            <w:r w:rsidRPr="004A1B95">
              <w:rPr>
                <w:b/>
                <w:bCs/>
                <w:color w:val="1B365D"/>
                <w:lang w:val="en-US"/>
              </w:rPr>
              <w:t>Address:</w:t>
            </w:r>
          </w:p>
        </w:tc>
        <w:tc>
          <w:tcPr>
            <w:tcW w:w="5902" w:type="dxa"/>
            <w:vAlign w:val="center"/>
          </w:tcPr>
          <w:p w14:paraId="2A1798B6" w14:textId="77777777" w:rsidR="00B6386C" w:rsidRDefault="00B6386C" w:rsidP="004A1B95">
            <w:pPr>
              <w:rPr>
                <w:b/>
                <w:bCs/>
                <w:lang w:val="en-US"/>
              </w:rPr>
            </w:pPr>
          </w:p>
        </w:tc>
      </w:tr>
    </w:tbl>
    <w:p w14:paraId="284B4D0A" w14:textId="77777777" w:rsidR="00B6386C" w:rsidRDefault="00B6386C">
      <w:pPr>
        <w:rPr>
          <w:b/>
          <w:bCs/>
          <w:lang w:val="en-US"/>
        </w:rPr>
      </w:pPr>
    </w:p>
    <w:tbl>
      <w:tblPr>
        <w:tblStyle w:val="TableGridLight"/>
        <w:tblW w:w="0" w:type="auto"/>
        <w:tblLook w:val="04A0" w:firstRow="1" w:lastRow="0" w:firstColumn="1" w:lastColumn="0" w:noHBand="0" w:noVBand="1"/>
      </w:tblPr>
      <w:tblGrid>
        <w:gridCol w:w="2318"/>
        <w:gridCol w:w="2243"/>
        <w:gridCol w:w="2336"/>
        <w:gridCol w:w="2119"/>
      </w:tblGrid>
      <w:tr w:rsidR="00B6386C" w14:paraId="6CE18567" w14:textId="7B15DDE7" w:rsidTr="004A1B95">
        <w:trPr>
          <w:trHeight w:val="397"/>
        </w:trPr>
        <w:tc>
          <w:tcPr>
            <w:tcW w:w="2318" w:type="dxa"/>
            <w:vAlign w:val="center"/>
          </w:tcPr>
          <w:p w14:paraId="26905BC8" w14:textId="14B856B5" w:rsidR="00B6386C" w:rsidRPr="004A1B95" w:rsidRDefault="00B6386C" w:rsidP="004A1B95">
            <w:pPr>
              <w:rPr>
                <w:b/>
                <w:bCs/>
                <w:color w:val="1B365D"/>
                <w:lang w:val="en-US"/>
              </w:rPr>
            </w:pPr>
            <w:r w:rsidRPr="004A1B95">
              <w:rPr>
                <w:b/>
                <w:bCs/>
                <w:color w:val="1B365D"/>
                <w:lang w:val="en-US"/>
              </w:rPr>
              <w:t>Option</w:t>
            </w:r>
          </w:p>
        </w:tc>
        <w:tc>
          <w:tcPr>
            <w:tcW w:w="2243" w:type="dxa"/>
            <w:vAlign w:val="center"/>
          </w:tcPr>
          <w:p w14:paraId="0B1DC6E6" w14:textId="3B9BB841" w:rsidR="00B6386C" w:rsidRPr="004A1B95" w:rsidRDefault="00B6386C" w:rsidP="004A1B95">
            <w:pPr>
              <w:rPr>
                <w:b/>
                <w:bCs/>
                <w:color w:val="1B365D"/>
                <w:lang w:val="en-US"/>
              </w:rPr>
            </w:pPr>
            <w:r w:rsidRPr="004A1B95">
              <w:rPr>
                <w:b/>
                <w:bCs/>
                <w:color w:val="1B365D"/>
                <w:lang w:val="en-US"/>
              </w:rPr>
              <w:t>Unit Cost</w:t>
            </w:r>
          </w:p>
        </w:tc>
        <w:tc>
          <w:tcPr>
            <w:tcW w:w="2336" w:type="dxa"/>
            <w:vAlign w:val="center"/>
          </w:tcPr>
          <w:p w14:paraId="106424B9" w14:textId="19D3CE22" w:rsidR="00B6386C" w:rsidRPr="004A1B95" w:rsidRDefault="00B6386C" w:rsidP="004A1B95">
            <w:pPr>
              <w:rPr>
                <w:b/>
                <w:bCs/>
                <w:color w:val="1B365D"/>
                <w:lang w:val="en-US"/>
              </w:rPr>
            </w:pPr>
            <w:r w:rsidRPr="004A1B95">
              <w:rPr>
                <w:b/>
                <w:bCs/>
                <w:color w:val="1B365D"/>
                <w:lang w:val="en-US"/>
              </w:rPr>
              <w:t>Quantity</w:t>
            </w:r>
          </w:p>
        </w:tc>
        <w:tc>
          <w:tcPr>
            <w:tcW w:w="2119" w:type="dxa"/>
            <w:vAlign w:val="center"/>
          </w:tcPr>
          <w:p w14:paraId="10EEECAB" w14:textId="7B608703" w:rsidR="00B6386C" w:rsidRPr="004A1B95" w:rsidRDefault="00B6386C" w:rsidP="004A1B95">
            <w:pPr>
              <w:rPr>
                <w:b/>
                <w:bCs/>
                <w:color w:val="1B365D"/>
                <w:lang w:val="en-US"/>
              </w:rPr>
            </w:pPr>
            <w:r w:rsidRPr="004A1B95">
              <w:rPr>
                <w:b/>
                <w:bCs/>
                <w:color w:val="1B365D"/>
                <w:lang w:val="en-US"/>
              </w:rPr>
              <w:t>Total</w:t>
            </w:r>
          </w:p>
        </w:tc>
      </w:tr>
      <w:tr w:rsidR="00B6386C" w14:paraId="247030B5" w14:textId="38FA1870" w:rsidTr="004A1B95">
        <w:trPr>
          <w:trHeight w:val="397"/>
        </w:trPr>
        <w:tc>
          <w:tcPr>
            <w:tcW w:w="2318" w:type="dxa"/>
            <w:vAlign w:val="center"/>
          </w:tcPr>
          <w:p w14:paraId="22C7A31A" w14:textId="3B46F22E" w:rsidR="00B6386C" w:rsidRPr="004A1B95" w:rsidRDefault="00B6386C" w:rsidP="004A1B95">
            <w:pPr>
              <w:rPr>
                <w:b/>
                <w:bCs/>
                <w:color w:val="1B365D"/>
                <w:lang w:val="en-US"/>
              </w:rPr>
            </w:pPr>
            <w:r w:rsidRPr="004A1B95">
              <w:rPr>
                <w:b/>
                <w:bCs/>
                <w:color w:val="1B365D"/>
                <w:lang w:val="en-US"/>
              </w:rPr>
              <w:t>Table of 10</w:t>
            </w:r>
          </w:p>
        </w:tc>
        <w:tc>
          <w:tcPr>
            <w:tcW w:w="2243" w:type="dxa"/>
            <w:vAlign w:val="center"/>
          </w:tcPr>
          <w:p w14:paraId="5FC8D876" w14:textId="3AADB01E" w:rsidR="00B6386C" w:rsidRPr="00B6386C" w:rsidRDefault="00B6386C" w:rsidP="004A1B95">
            <w:pPr>
              <w:rPr>
                <w:lang w:val="en-US"/>
              </w:rPr>
            </w:pPr>
            <w:r>
              <w:rPr>
                <w:lang w:val="en-US"/>
              </w:rPr>
              <w:t>£2,000.00 + VAT</w:t>
            </w:r>
          </w:p>
        </w:tc>
        <w:tc>
          <w:tcPr>
            <w:tcW w:w="2336" w:type="dxa"/>
            <w:vAlign w:val="center"/>
          </w:tcPr>
          <w:p w14:paraId="372513AA" w14:textId="77777777" w:rsidR="00B6386C" w:rsidRPr="00B6386C" w:rsidRDefault="00B6386C" w:rsidP="004A1B95">
            <w:pPr>
              <w:rPr>
                <w:lang w:val="en-US"/>
              </w:rPr>
            </w:pPr>
          </w:p>
        </w:tc>
        <w:tc>
          <w:tcPr>
            <w:tcW w:w="2119" w:type="dxa"/>
            <w:vAlign w:val="center"/>
          </w:tcPr>
          <w:p w14:paraId="6D8862FE" w14:textId="77777777" w:rsidR="00B6386C" w:rsidRPr="00B6386C" w:rsidRDefault="00B6386C" w:rsidP="004A1B95">
            <w:pPr>
              <w:rPr>
                <w:lang w:val="en-US"/>
              </w:rPr>
            </w:pPr>
          </w:p>
        </w:tc>
      </w:tr>
      <w:tr w:rsidR="00B6386C" w14:paraId="143B87C6" w14:textId="244A901A" w:rsidTr="004A1B95">
        <w:trPr>
          <w:trHeight w:val="397"/>
        </w:trPr>
        <w:tc>
          <w:tcPr>
            <w:tcW w:w="2318" w:type="dxa"/>
            <w:vAlign w:val="center"/>
          </w:tcPr>
          <w:p w14:paraId="7F096252" w14:textId="22185078" w:rsidR="00B6386C" w:rsidRPr="004A1B95" w:rsidRDefault="00B6386C" w:rsidP="004A1B95">
            <w:pPr>
              <w:rPr>
                <w:b/>
                <w:bCs/>
                <w:color w:val="1B365D"/>
                <w:lang w:val="en-US"/>
              </w:rPr>
            </w:pPr>
            <w:r w:rsidRPr="004A1B95">
              <w:rPr>
                <w:b/>
                <w:bCs/>
                <w:color w:val="1B365D"/>
                <w:lang w:val="en-US"/>
              </w:rPr>
              <w:t>Individual Space</w:t>
            </w:r>
          </w:p>
        </w:tc>
        <w:tc>
          <w:tcPr>
            <w:tcW w:w="2243" w:type="dxa"/>
            <w:vAlign w:val="center"/>
          </w:tcPr>
          <w:p w14:paraId="260DEA70" w14:textId="48A9F1CA" w:rsidR="00B6386C" w:rsidRPr="00B6386C" w:rsidRDefault="00B6386C" w:rsidP="004A1B95">
            <w:pPr>
              <w:rPr>
                <w:lang w:val="en-US"/>
              </w:rPr>
            </w:pPr>
            <w:r>
              <w:rPr>
                <w:lang w:val="en-US"/>
              </w:rPr>
              <w:t>£200.00 + VAT</w:t>
            </w:r>
          </w:p>
        </w:tc>
        <w:tc>
          <w:tcPr>
            <w:tcW w:w="2336" w:type="dxa"/>
            <w:vAlign w:val="center"/>
          </w:tcPr>
          <w:p w14:paraId="7EE78DE5" w14:textId="77777777" w:rsidR="00B6386C" w:rsidRPr="00B6386C" w:rsidRDefault="00B6386C" w:rsidP="004A1B95">
            <w:pPr>
              <w:rPr>
                <w:lang w:val="en-US"/>
              </w:rPr>
            </w:pPr>
          </w:p>
        </w:tc>
        <w:tc>
          <w:tcPr>
            <w:tcW w:w="2119" w:type="dxa"/>
            <w:vAlign w:val="center"/>
          </w:tcPr>
          <w:p w14:paraId="5B870997" w14:textId="77777777" w:rsidR="00B6386C" w:rsidRPr="00B6386C" w:rsidRDefault="00B6386C" w:rsidP="004A1B95">
            <w:pPr>
              <w:rPr>
                <w:lang w:val="en-US"/>
              </w:rPr>
            </w:pPr>
          </w:p>
        </w:tc>
      </w:tr>
    </w:tbl>
    <w:p w14:paraId="24BBBC62" w14:textId="5136BE10" w:rsidR="004A1B95" w:rsidRDefault="004A1B95">
      <w:pPr>
        <w:rPr>
          <w:b/>
          <w:bCs/>
          <w:lang w:val="en-US"/>
        </w:rPr>
      </w:pPr>
    </w:p>
    <w:p w14:paraId="3C264A13" w14:textId="31A2027F" w:rsidR="004A1B95" w:rsidRPr="002D0F43" w:rsidRDefault="004A1B95" w:rsidP="001A27E0">
      <w:pPr>
        <w:jc w:val="both"/>
        <w:rPr>
          <w:b/>
          <w:bCs/>
          <w:color w:val="1B365D"/>
          <w:sz w:val="24"/>
          <w:szCs w:val="24"/>
          <w:lang w:val="en-US"/>
        </w:rPr>
      </w:pPr>
      <w:r w:rsidRPr="002D0F43">
        <w:rPr>
          <w:b/>
          <w:bCs/>
          <w:color w:val="1B365D"/>
          <w:sz w:val="24"/>
          <w:szCs w:val="24"/>
          <w:lang w:val="en-US"/>
        </w:rPr>
        <w:t>Payment Information</w:t>
      </w:r>
    </w:p>
    <w:p w14:paraId="7B6981D3" w14:textId="4247E393" w:rsidR="004A1B95" w:rsidRDefault="00B6386C" w:rsidP="001A27E0">
      <w:pPr>
        <w:jc w:val="both"/>
        <w:rPr>
          <w:lang w:val="en-US"/>
        </w:rPr>
      </w:pPr>
      <w:r w:rsidRPr="004A1B95">
        <w:rPr>
          <w:noProof/>
          <w:lang w:val="en-US"/>
        </w:rPr>
        <w:drawing>
          <wp:anchor distT="0" distB="0" distL="114300" distR="114300" simplePos="0" relativeHeight="251658240" behindDoc="1" locked="0" layoutInCell="1" allowOverlap="1" wp14:anchorId="0FAE7A13" wp14:editId="28A4727D">
            <wp:simplePos x="0" y="0"/>
            <wp:positionH relativeFrom="margin">
              <wp:posOffset>-106680</wp:posOffset>
            </wp:positionH>
            <wp:positionV relativeFrom="page">
              <wp:posOffset>116840</wp:posOffset>
            </wp:positionV>
            <wp:extent cx="5953760" cy="2981325"/>
            <wp:effectExtent l="0" t="0" r="8890" b="9525"/>
            <wp:wrapTight wrapText="bothSides">
              <wp:wrapPolygon edited="0">
                <wp:start x="0" y="0"/>
                <wp:lineTo x="0" y="21531"/>
                <wp:lineTo x="21563" y="21531"/>
                <wp:lineTo x="2156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extLst>
                        <a:ext uri="{28A0092B-C50C-407E-A947-70E740481C1C}">
                          <a14:useLocalDpi xmlns:a14="http://schemas.microsoft.com/office/drawing/2010/main" val="0"/>
                        </a:ext>
                      </a:extLst>
                    </a:blip>
                    <a:srcRect t="2893" b="26080"/>
                    <a:stretch/>
                  </pic:blipFill>
                  <pic:spPr bwMode="auto">
                    <a:xfrm>
                      <a:off x="0" y="0"/>
                      <a:ext cx="595376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B95">
        <w:rPr>
          <w:lang w:val="en-US"/>
        </w:rPr>
        <w:t>Once completed, this form should be sent to</w:t>
      </w:r>
      <w:r w:rsidR="004A1B95" w:rsidRPr="00D7080A">
        <w:rPr>
          <w:color w:val="1B365D"/>
          <w:lang w:val="en-US"/>
        </w:rPr>
        <w:t xml:space="preserve"> </w:t>
      </w:r>
      <w:hyperlink r:id="rId5" w:history="1">
        <w:r w:rsidR="004A1B95" w:rsidRPr="00D7080A">
          <w:rPr>
            <w:rStyle w:val="Hyperlink"/>
            <w:b/>
            <w:bCs/>
            <w:color w:val="1B365D"/>
            <w:lang w:val="en-US"/>
          </w:rPr>
          <w:t>events@thewigleygroup.com</w:t>
        </w:r>
      </w:hyperlink>
      <w:r w:rsidR="004A1B95">
        <w:rPr>
          <w:lang w:val="en-US"/>
        </w:rPr>
        <w:t xml:space="preserve">. Payments are to be made via BACS transfer to The Wigley Group Ltd. Sort code: 54-41-00 / Account number: 05025052. </w:t>
      </w:r>
      <w:r w:rsidR="006E2321">
        <w:rPr>
          <w:lang w:val="en-US"/>
        </w:rPr>
        <w:t xml:space="preserve">Please let us know when payment has been made and </w:t>
      </w:r>
      <w:r w:rsidR="004A1B95">
        <w:rPr>
          <w:lang w:val="en-US"/>
        </w:rPr>
        <w:t>include ‘WSFBall’ in your reference so we can distinguish your payment.</w:t>
      </w:r>
    </w:p>
    <w:p w14:paraId="2B2925BF" w14:textId="18BF3BE5" w:rsidR="004A1B95" w:rsidRPr="004A1B95" w:rsidRDefault="004A1B95" w:rsidP="001A27E0">
      <w:pPr>
        <w:jc w:val="both"/>
        <w:rPr>
          <w:lang w:val="en-US"/>
        </w:rPr>
      </w:pPr>
      <w:r>
        <w:rPr>
          <w:lang w:val="en-US"/>
        </w:rPr>
        <w:t>Other booking arrangements may be available on request. Please specify upon submission of this form if you wish to make alternative arrangements.</w:t>
      </w:r>
    </w:p>
    <w:p w14:paraId="74EAB3F3" w14:textId="7B5CD4D1" w:rsidR="00B972C9" w:rsidRPr="002D0F43" w:rsidRDefault="00B972C9" w:rsidP="001A27E0">
      <w:pPr>
        <w:jc w:val="both"/>
        <w:rPr>
          <w:b/>
          <w:bCs/>
          <w:color w:val="1B365D"/>
          <w:sz w:val="24"/>
          <w:szCs w:val="24"/>
          <w:lang w:val="en-US"/>
        </w:rPr>
      </w:pPr>
      <w:r w:rsidRPr="002D0F43">
        <w:rPr>
          <w:b/>
          <w:bCs/>
          <w:color w:val="1B365D"/>
          <w:sz w:val="24"/>
          <w:szCs w:val="24"/>
          <w:lang w:val="en-US"/>
        </w:rPr>
        <w:t>Privacy Notice</w:t>
      </w:r>
    </w:p>
    <w:p w14:paraId="459DE722" w14:textId="74DAF4EE" w:rsidR="00B972C9" w:rsidRDefault="00B972C9" w:rsidP="001A27E0">
      <w:pPr>
        <w:jc w:val="both"/>
        <w:rPr>
          <w:lang w:val="en-US"/>
        </w:rPr>
      </w:pPr>
      <w:r>
        <w:rPr>
          <w:lang w:val="en-US"/>
        </w:rPr>
        <w:t>By attending the event you consent to appearing in any photographs taken by our photographer and the use of photographs on our website (</w:t>
      </w:r>
      <w:r w:rsidRPr="004A1B95">
        <w:rPr>
          <w:color w:val="1B365D"/>
          <w:lang w:val="en-US"/>
        </w:rPr>
        <w:t>www.thewigleygroup.com</w:t>
      </w:r>
      <w:r>
        <w:rPr>
          <w:lang w:val="en-US"/>
        </w:rPr>
        <w:t>) and social media. We will use the photographs and process your personal data in accordance with our Privacy Policy (available on our website).</w:t>
      </w:r>
    </w:p>
    <w:p w14:paraId="587CF479" w14:textId="25B90840" w:rsidR="00B972C9" w:rsidRDefault="00B972C9" w:rsidP="001A27E0">
      <w:pPr>
        <w:jc w:val="both"/>
        <w:rPr>
          <w:lang w:val="en-US"/>
        </w:rPr>
      </w:pPr>
      <w:r>
        <w:rPr>
          <w:lang w:val="en-US"/>
        </w:rPr>
        <w:t xml:space="preserve">The Wigley Group Ltd of Stockton House, Rugby Road, Stockton, Warwickshire, CV47 8LB is the “data controller” for the purposes under the UK General Data Protection Regulation and Data Protection Act 2018. Please address any questions, comments and requests regarding our data processing practices to </w:t>
      </w:r>
      <w:r w:rsidRPr="002D0F43">
        <w:rPr>
          <w:color w:val="1B365D"/>
          <w:lang w:val="en-US"/>
        </w:rPr>
        <w:t>claire@thewigleygroup.com</w:t>
      </w:r>
      <w:r>
        <w:rPr>
          <w:lang w:val="en-US"/>
        </w:rPr>
        <w:t xml:space="preserve">. </w:t>
      </w:r>
    </w:p>
    <w:p w14:paraId="432D34EC" w14:textId="16BF7F13" w:rsidR="002D0F43" w:rsidRPr="002D0F43" w:rsidRDefault="002D0F43" w:rsidP="001A27E0">
      <w:pPr>
        <w:jc w:val="both"/>
        <w:rPr>
          <w:b/>
          <w:bCs/>
          <w:color w:val="1B365D"/>
          <w:sz w:val="24"/>
          <w:szCs w:val="24"/>
          <w:lang w:val="en-US"/>
        </w:rPr>
      </w:pPr>
      <w:r w:rsidRPr="002D0F43">
        <w:rPr>
          <w:b/>
          <w:bCs/>
          <w:color w:val="1B365D"/>
          <w:sz w:val="24"/>
          <w:szCs w:val="24"/>
          <w:lang w:val="en-US"/>
        </w:rPr>
        <w:lastRenderedPageBreak/>
        <w:t>Useful Information</w:t>
      </w:r>
    </w:p>
    <w:p w14:paraId="467E3C3E" w14:textId="147E0FB4" w:rsidR="002D0F43" w:rsidRPr="002D0F43" w:rsidRDefault="002D0F43" w:rsidP="001A27E0">
      <w:pPr>
        <w:jc w:val="both"/>
        <w:rPr>
          <w:b/>
          <w:bCs/>
          <w:color w:val="1B365D"/>
          <w:lang w:val="en-US"/>
        </w:rPr>
      </w:pPr>
      <w:r w:rsidRPr="002D0F43">
        <w:rPr>
          <w:b/>
          <w:bCs/>
          <w:color w:val="1B365D"/>
          <w:lang w:val="en-US"/>
        </w:rPr>
        <w:t>Overnight Accommodation</w:t>
      </w:r>
    </w:p>
    <w:p w14:paraId="5443C165" w14:textId="3A766664" w:rsidR="002D0F43" w:rsidRDefault="002D0F43" w:rsidP="001A27E0">
      <w:pPr>
        <w:jc w:val="both"/>
        <w:rPr>
          <w:lang w:val="en-US"/>
        </w:rPr>
      </w:pPr>
      <w:r>
        <w:rPr>
          <w:lang w:val="en-US"/>
        </w:rPr>
        <w:t xml:space="preserve">Overnight accommodation is available at the Hilton DoubleTree which is on site at the Coventry Building Society Arena. </w:t>
      </w:r>
      <w:r w:rsidR="00514FDC">
        <w:rPr>
          <w:lang w:val="en-US"/>
        </w:rPr>
        <w:t>A standard queen room is available for £75.00 per room per night (single occupancy), inclusive of breakfast and VAT. Please note there is a surcharge of £12.00 per room per night for double occupancy.</w:t>
      </w:r>
      <w:r w:rsidR="00F97E50">
        <w:rPr>
          <w:lang w:val="en-US"/>
        </w:rPr>
        <w:t xml:space="preserve"> </w:t>
      </w:r>
      <w:hyperlink r:id="rId6" w:history="1">
        <w:r w:rsidR="00F97E50" w:rsidRPr="00490D5A">
          <w:rPr>
            <w:rStyle w:val="Hyperlink"/>
            <w:b/>
            <w:bCs/>
            <w:color w:val="1B365D"/>
            <w:lang w:val="en-US"/>
          </w:rPr>
          <w:t>Click here</w:t>
        </w:r>
      </w:hyperlink>
      <w:r w:rsidR="00F97E50">
        <w:rPr>
          <w:lang w:val="en-US"/>
        </w:rPr>
        <w:t xml:space="preserve"> to book your room today.</w:t>
      </w:r>
    </w:p>
    <w:p w14:paraId="4A817B5E" w14:textId="2B10AAF5" w:rsidR="002D0F43" w:rsidRPr="002D0F43" w:rsidRDefault="002D0F43" w:rsidP="001A27E0">
      <w:pPr>
        <w:jc w:val="both"/>
        <w:rPr>
          <w:b/>
          <w:bCs/>
          <w:color w:val="1B365D"/>
          <w:lang w:val="en-US"/>
        </w:rPr>
      </w:pPr>
      <w:r w:rsidRPr="002D0F43">
        <w:rPr>
          <w:b/>
          <w:bCs/>
          <w:color w:val="1B365D"/>
          <w:lang w:val="en-US"/>
        </w:rPr>
        <w:t xml:space="preserve">Car Parking </w:t>
      </w:r>
    </w:p>
    <w:p w14:paraId="397B41C3" w14:textId="5A83CC67" w:rsidR="002D0F43" w:rsidRPr="00B972C9" w:rsidRDefault="00D7326D" w:rsidP="001A27E0">
      <w:pPr>
        <w:jc w:val="both"/>
        <w:rPr>
          <w:lang w:val="en-US"/>
        </w:rPr>
      </w:pPr>
      <w:hyperlink r:id="rId7" w:history="1">
        <w:r w:rsidR="002D0F43" w:rsidRPr="00490D5A">
          <w:rPr>
            <w:rStyle w:val="Hyperlink"/>
            <w:b/>
            <w:bCs/>
            <w:color w:val="1B365D"/>
            <w:lang w:val="en-US"/>
          </w:rPr>
          <w:t>Click here</w:t>
        </w:r>
      </w:hyperlink>
      <w:r w:rsidR="002D0F43">
        <w:rPr>
          <w:lang w:val="en-US"/>
        </w:rPr>
        <w:t xml:space="preserve"> to pre-book your car parking for the event. Alternatively, you can pay on the night at the pay machines located on the ground floor upon departure. Please enter code 6640 </w:t>
      </w:r>
      <w:r w:rsidR="002E2EC3">
        <w:rPr>
          <w:lang w:val="en-US"/>
        </w:rPr>
        <w:t>to</w:t>
      </w:r>
      <w:r w:rsidR="002D0F43">
        <w:rPr>
          <w:lang w:val="en-US"/>
        </w:rPr>
        <w:t xml:space="preserve"> reduce the tariff to £6.00 per vehicle for the evening.</w:t>
      </w:r>
    </w:p>
    <w:sectPr w:rsidR="002D0F43" w:rsidRPr="00B972C9" w:rsidSect="002D0F4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C9"/>
    <w:rsid w:val="00173128"/>
    <w:rsid w:val="001A27E0"/>
    <w:rsid w:val="002D0F43"/>
    <w:rsid w:val="002E2EC3"/>
    <w:rsid w:val="003E3911"/>
    <w:rsid w:val="00490D5A"/>
    <w:rsid w:val="004A1B95"/>
    <w:rsid w:val="00514FDC"/>
    <w:rsid w:val="006E2321"/>
    <w:rsid w:val="00B6386C"/>
    <w:rsid w:val="00B972C9"/>
    <w:rsid w:val="00D7080A"/>
    <w:rsid w:val="00D7326D"/>
    <w:rsid w:val="00F138FB"/>
    <w:rsid w:val="00F14DCF"/>
    <w:rsid w:val="00F9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3635"/>
  <w15:chartTrackingRefBased/>
  <w15:docId w15:val="{A68A3470-D057-4A11-BC3D-80FCB3BE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2C9"/>
    <w:rPr>
      <w:color w:val="0563C1" w:themeColor="hyperlink"/>
      <w:u w:val="single"/>
    </w:rPr>
  </w:style>
  <w:style w:type="character" w:styleId="UnresolvedMention">
    <w:name w:val="Unresolved Mention"/>
    <w:basedOn w:val="DefaultParagraphFont"/>
    <w:uiPriority w:val="99"/>
    <w:semiHidden/>
    <w:unhideWhenUsed/>
    <w:rsid w:val="00B972C9"/>
    <w:rPr>
      <w:color w:val="605E5C"/>
      <w:shd w:val="clear" w:color="auto" w:fill="E1DFDD"/>
    </w:rPr>
  </w:style>
  <w:style w:type="table" w:styleId="TableGrid">
    <w:name w:val="Table Grid"/>
    <w:basedOn w:val="TableNormal"/>
    <w:uiPriority w:val="39"/>
    <w:rsid w:val="00B6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A1B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A1B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ideparking.com/cbsarena/events/entertainment-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lton.com/en/book/reservation/deeplink/?ctyhocn=CVTRADI&amp;groupCode=0710WA&amp;arrivaldate=2021-10-07&amp;departuredate=2021-10-08&amp;cid=OM,WW,HILTONLINK,EN,DirectLink&amp;fromId=HILTONLINKDIRECT" TargetMode="External"/><Relationship Id="rId5" Type="http://schemas.openxmlformats.org/officeDocument/2006/relationships/hyperlink" Target="mailto:events@thewigleygroup.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Wigley</dc:creator>
  <cp:keywords/>
  <dc:description/>
  <cp:lastModifiedBy>Katie Wigley</cp:lastModifiedBy>
  <cp:revision>12</cp:revision>
  <dcterms:created xsi:type="dcterms:W3CDTF">2021-08-04T10:44:00Z</dcterms:created>
  <dcterms:modified xsi:type="dcterms:W3CDTF">2021-08-05T12:15:00Z</dcterms:modified>
</cp:coreProperties>
</file>